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5619"/>
        <w:gridCol w:w="1112"/>
        <w:gridCol w:w="1112"/>
        <w:gridCol w:w="1112"/>
        <w:gridCol w:w="277"/>
        <w:gridCol w:w="1112"/>
        <w:gridCol w:w="1112"/>
        <w:gridCol w:w="1112"/>
        <w:gridCol w:w="1134"/>
      </w:tblGrid>
      <w:tr w:rsidR="000701D4" w:rsidRPr="008E2ABA" w:rsidTr="00EA1B4A">
        <w:trPr>
          <w:trHeight w:val="684"/>
        </w:trPr>
        <w:tc>
          <w:tcPr>
            <w:tcW w:w="15276" w:type="dxa"/>
            <w:gridSpan w:val="10"/>
          </w:tcPr>
          <w:p w:rsidR="000701D4" w:rsidRDefault="000701D4" w:rsidP="00EA1B4A">
            <w:pPr>
              <w:rPr>
                <w:rFonts w:eastAsia="Calibri" w:cs="Arial"/>
                <w:b/>
              </w:rPr>
            </w:pPr>
          </w:p>
          <w:p w:rsidR="000701D4" w:rsidRDefault="000701D4" w:rsidP="00EA1B4A">
            <w:pPr>
              <w:rPr>
                <w:rFonts w:eastAsia="Calibri" w:cs="Arial"/>
                <w:b/>
              </w:rPr>
            </w:pPr>
            <w:r>
              <w:rPr>
                <w:rFonts w:eastAsia="Calibri" w:cs="Arial"/>
                <w:b/>
              </w:rPr>
              <w:t>APPENDIX B: SUMMARY OF FSR OUTCOMES 2016/17</w:t>
            </w:r>
          </w:p>
          <w:p w:rsidR="000701D4" w:rsidRPr="008E2ABA" w:rsidRDefault="000701D4" w:rsidP="00EA1B4A">
            <w:pPr>
              <w:rPr>
                <w:rFonts w:eastAsia="Calibri" w:cs="Arial"/>
                <w:b/>
              </w:rPr>
            </w:pPr>
          </w:p>
        </w:tc>
      </w:tr>
      <w:tr w:rsidR="000701D4" w:rsidRPr="008E2ABA" w:rsidTr="00EA1B4A">
        <w:trPr>
          <w:trHeight w:val="456"/>
        </w:trPr>
        <w:tc>
          <w:tcPr>
            <w:tcW w:w="1574" w:type="dxa"/>
            <w:vMerge w:val="restart"/>
            <w:shd w:val="clear" w:color="auto" w:fill="auto"/>
          </w:tcPr>
          <w:p w:rsidR="000701D4" w:rsidRPr="008E2ABA" w:rsidRDefault="000701D4" w:rsidP="00EA1B4A">
            <w:pPr>
              <w:shd w:val="clear" w:color="auto" w:fill="FFFFFF"/>
              <w:spacing w:before="240" w:after="100" w:afterAutospacing="1"/>
              <w:contextualSpacing/>
              <w:rPr>
                <w:rFonts w:eastAsia="Calibri" w:cs="Arial"/>
                <w:b/>
              </w:rPr>
            </w:pPr>
            <w:r w:rsidRPr="008E2ABA">
              <w:rPr>
                <w:rFonts w:eastAsia="Calibri" w:cs="Arial"/>
                <w:b/>
              </w:rPr>
              <w:t>Service Area</w:t>
            </w:r>
          </w:p>
        </w:tc>
        <w:tc>
          <w:tcPr>
            <w:tcW w:w="5619" w:type="dxa"/>
            <w:vMerge w:val="restart"/>
            <w:shd w:val="clear" w:color="auto" w:fill="auto"/>
            <w:vAlign w:val="center"/>
          </w:tcPr>
          <w:p w:rsidR="000701D4" w:rsidRPr="008E2ABA" w:rsidRDefault="000701D4" w:rsidP="00EA1B4A">
            <w:pPr>
              <w:rPr>
                <w:rFonts w:eastAsia="Calibri" w:cs="Arial"/>
                <w:b/>
              </w:rPr>
            </w:pPr>
            <w:r>
              <w:rPr>
                <w:rFonts w:eastAsia="Calibri" w:cs="Arial"/>
                <w:b/>
              </w:rPr>
              <w:t>Summary Outcomes</w:t>
            </w:r>
          </w:p>
        </w:tc>
        <w:tc>
          <w:tcPr>
            <w:tcW w:w="3336" w:type="dxa"/>
            <w:gridSpan w:val="3"/>
          </w:tcPr>
          <w:p w:rsidR="000701D4" w:rsidRPr="008E2ABA" w:rsidRDefault="000701D4" w:rsidP="00EA1B4A">
            <w:pPr>
              <w:rPr>
                <w:rFonts w:eastAsia="Calibri" w:cs="Arial"/>
                <w:b/>
              </w:rPr>
            </w:pPr>
            <w:r>
              <w:rPr>
                <w:rFonts w:eastAsia="Calibri" w:cs="Arial"/>
                <w:b/>
              </w:rPr>
              <w:t>Budget 2016/17 (£000’s)</w:t>
            </w:r>
          </w:p>
        </w:tc>
        <w:tc>
          <w:tcPr>
            <w:tcW w:w="277" w:type="dxa"/>
            <w:vMerge w:val="restart"/>
            <w:shd w:val="clear" w:color="auto" w:fill="000000"/>
          </w:tcPr>
          <w:p w:rsidR="000701D4" w:rsidRPr="008E2ABA" w:rsidRDefault="000701D4" w:rsidP="00EA1B4A">
            <w:pPr>
              <w:jc w:val="center"/>
              <w:rPr>
                <w:rFonts w:eastAsia="Calibri" w:cs="Arial"/>
                <w:b/>
              </w:rPr>
            </w:pPr>
          </w:p>
        </w:tc>
        <w:tc>
          <w:tcPr>
            <w:tcW w:w="4470" w:type="dxa"/>
            <w:gridSpan w:val="4"/>
            <w:shd w:val="clear" w:color="auto" w:fill="auto"/>
          </w:tcPr>
          <w:p w:rsidR="000701D4" w:rsidRDefault="000701D4" w:rsidP="00EA1B4A">
            <w:pPr>
              <w:jc w:val="center"/>
              <w:rPr>
                <w:rFonts w:eastAsia="Calibri" w:cs="Arial"/>
                <w:b/>
              </w:rPr>
            </w:pPr>
            <w:r w:rsidRPr="008E2ABA">
              <w:rPr>
                <w:rFonts w:eastAsia="Calibri" w:cs="Arial"/>
                <w:b/>
              </w:rPr>
              <w:t>Budget Impact</w:t>
            </w:r>
            <w:r>
              <w:rPr>
                <w:rFonts w:eastAsia="Calibri" w:cs="Arial"/>
                <w:b/>
              </w:rPr>
              <w:t xml:space="preserve"> of FSR</w:t>
            </w:r>
          </w:p>
          <w:p w:rsidR="000701D4" w:rsidRPr="008E2ABA" w:rsidRDefault="000701D4" w:rsidP="00EA1B4A">
            <w:pPr>
              <w:jc w:val="center"/>
              <w:rPr>
                <w:rFonts w:eastAsia="Calibri" w:cs="Arial"/>
                <w:b/>
              </w:rPr>
            </w:pPr>
            <w:r>
              <w:rPr>
                <w:rFonts w:eastAsia="Calibri" w:cs="Arial"/>
                <w:b/>
              </w:rPr>
              <w:t>£000’s</w:t>
            </w:r>
          </w:p>
        </w:tc>
      </w:tr>
      <w:tr w:rsidR="000701D4" w:rsidRPr="008E2ABA" w:rsidTr="00EA1B4A">
        <w:trPr>
          <w:trHeight w:val="119"/>
        </w:trPr>
        <w:tc>
          <w:tcPr>
            <w:tcW w:w="1574" w:type="dxa"/>
            <w:vMerge/>
            <w:shd w:val="clear" w:color="auto" w:fill="auto"/>
          </w:tcPr>
          <w:p w:rsidR="000701D4" w:rsidRPr="008E2ABA" w:rsidRDefault="000701D4" w:rsidP="00EA1B4A">
            <w:pPr>
              <w:shd w:val="clear" w:color="auto" w:fill="FFFFFF"/>
              <w:spacing w:before="240" w:after="100" w:afterAutospacing="1"/>
              <w:contextualSpacing/>
              <w:rPr>
                <w:rFonts w:eastAsia="Calibri" w:cs="Arial"/>
                <w:b/>
              </w:rPr>
            </w:pPr>
          </w:p>
        </w:tc>
        <w:tc>
          <w:tcPr>
            <w:tcW w:w="5619" w:type="dxa"/>
            <w:vMerge/>
            <w:shd w:val="clear" w:color="auto" w:fill="auto"/>
          </w:tcPr>
          <w:p w:rsidR="000701D4" w:rsidRPr="008E2ABA" w:rsidRDefault="000701D4" w:rsidP="00EA1B4A">
            <w:pPr>
              <w:rPr>
                <w:rFonts w:eastAsia="Calibri" w:cs="Arial"/>
                <w:b/>
              </w:rPr>
            </w:pPr>
          </w:p>
        </w:tc>
        <w:tc>
          <w:tcPr>
            <w:tcW w:w="1112" w:type="dxa"/>
          </w:tcPr>
          <w:p w:rsidR="000701D4" w:rsidRPr="00D26292" w:rsidRDefault="000701D4" w:rsidP="00EA1B4A">
            <w:pPr>
              <w:rPr>
                <w:rFonts w:eastAsia="Calibri" w:cs="Arial"/>
                <w:b/>
                <w:sz w:val="22"/>
                <w:szCs w:val="22"/>
              </w:rPr>
            </w:pPr>
            <w:r w:rsidRPr="00D26292">
              <w:rPr>
                <w:rFonts w:eastAsia="Calibri" w:cs="Arial"/>
                <w:b/>
                <w:sz w:val="22"/>
                <w:szCs w:val="22"/>
              </w:rPr>
              <w:t>Expend</w:t>
            </w:r>
            <w:r>
              <w:rPr>
                <w:rFonts w:eastAsia="Calibri" w:cs="Arial"/>
                <w:b/>
                <w:sz w:val="22"/>
                <w:szCs w:val="22"/>
              </w:rPr>
              <w:t>-</w:t>
            </w:r>
            <w:proofErr w:type="spellStart"/>
            <w:r w:rsidRPr="00D26292">
              <w:rPr>
                <w:rFonts w:eastAsia="Calibri" w:cs="Arial"/>
                <w:b/>
                <w:sz w:val="22"/>
                <w:szCs w:val="22"/>
              </w:rPr>
              <w:t>iture</w:t>
            </w:r>
            <w:proofErr w:type="spellEnd"/>
          </w:p>
        </w:tc>
        <w:tc>
          <w:tcPr>
            <w:tcW w:w="1112" w:type="dxa"/>
          </w:tcPr>
          <w:p w:rsidR="000701D4" w:rsidRPr="00D26292" w:rsidRDefault="000701D4" w:rsidP="00EA1B4A">
            <w:pPr>
              <w:rPr>
                <w:rFonts w:eastAsia="Calibri" w:cs="Arial"/>
                <w:b/>
                <w:sz w:val="22"/>
                <w:szCs w:val="22"/>
              </w:rPr>
            </w:pPr>
            <w:r w:rsidRPr="00D26292">
              <w:rPr>
                <w:rFonts w:eastAsia="Calibri" w:cs="Arial"/>
                <w:b/>
                <w:sz w:val="22"/>
                <w:szCs w:val="22"/>
              </w:rPr>
              <w:t>Income</w:t>
            </w:r>
          </w:p>
        </w:tc>
        <w:tc>
          <w:tcPr>
            <w:tcW w:w="1112" w:type="dxa"/>
          </w:tcPr>
          <w:p w:rsidR="000701D4" w:rsidRPr="00D26292" w:rsidRDefault="000701D4" w:rsidP="00EA1B4A">
            <w:pPr>
              <w:rPr>
                <w:rFonts w:eastAsia="Calibri" w:cs="Arial"/>
                <w:b/>
                <w:sz w:val="22"/>
                <w:szCs w:val="22"/>
              </w:rPr>
            </w:pPr>
            <w:r w:rsidRPr="00D26292">
              <w:rPr>
                <w:rFonts w:eastAsia="Calibri" w:cs="Arial"/>
                <w:b/>
                <w:sz w:val="22"/>
                <w:szCs w:val="22"/>
              </w:rPr>
              <w:t>Net</w:t>
            </w:r>
          </w:p>
        </w:tc>
        <w:tc>
          <w:tcPr>
            <w:tcW w:w="277" w:type="dxa"/>
            <w:vMerge/>
            <w:shd w:val="clear" w:color="auto" w:fill="000000"/>
          </w:tcPr>
          <w:p w:rsidR="000701D4" w:rsidRDefault="000701D4" w:rsidP="00EA1B4A">
            <w:pPr>
              <w:rPr>
                <w:rFonts w:eastAsia="Calibri" w:cs="Arial"/>
                <w:b/>
              </w:rPr>
            </w:pPr>
          </w:p>
        </w:tc>
        <w:tc>
          <w:tcPr>
            <w:tcW w:w="1112" w:type="dxa"/>
            <w:shd w:val="clear" w:color="auto" w:fill="auto"/>
          </w:tcPr>
          <w:p w:rsidR="000701D4" w:rsidRPr="008E2ABA" w:rsidRDefault="000701D4" w:rsidP="00EA1B4A">
            <w:pPr>
              <w:rPr>
                <w:rFonts w:eastAsia="Calibri" w:cs="Arial"/>
                <w:b/>
              </w:rPr>
            </w:pPr>
            <w:r>
              <w:rPr>
                <w:rFonts w:eastAsia="Calibri" w:cs="Arial"/>
                <w:b/>
              </w:rPr>
              <w:t>2017/18</w:t>
            </w:r>
          </w:p>
        </w:tc>
        <w:tc>
          <w:tcPr>
            <w:tcW w:w="1112" w:type="dxa"/>
            <w:shd w:val="clear" w:color="auto" w:fill="auto"/>
          </w:tcPr>
          <w:p w:rsidR="000701D4" w:rsidRPr="008E2ABA" w:rsidRDefault="000701D4" w:rsidP="00EA1B4A">
            <w:pPr>
              <w:rPr>
                <w:rFonts w:eastAsia="Calibri" w:cs="Arial"/>
                <w:b/>
              </w:rPr>
            </w:pPr>
            <w:r>
              <w:rPr>
                <w:rFonts w:eastAsia="Calibri" w:cs="Arial"/>
                <w:b/>
              </w:rPr>
              <w:t>2018/19</w:t>
            </w:r>
          </w:p>
        </w:tc>
        <w:tc>
          <w:tcPr>
            <w:tcW w:w="1112" w:type="dxa"/>
          </w:tcPr>
          <w:p w:rsidR="000701D4" w:rsidRPr="008E2ABA" w:rsidRDefault="000701D4" w:rsidP="00EA1B4A">
            <w:pPr>
              <w:rPr>
                <w:rFonts w:eastAsia="Calibri" w:cs="Arial"/>
                <w:b/>
              </w:rPr>
            </w:pPr>
            <w:r>
              <w:rPr>
                <w:rFonts w:eastAsia="Calibri" w:cs="Arial"/>
                <w:b/>
              </w:rPr>
              <w:t>2019/20</w:t>
            </w:r>
          </w:p>
        </w:tc>
        <w:tc>
          <w:tcPr>
            <w:tcW w:w="1134" w:type="dxa"/>
          </w:tcPr>
          <w:p w:rsidR="000701D4" w:rsidRDefault="000701D4" w:rsidP="00EA1B4A">
            <w:pPr>
              <w:rPr>
                <w:rFonts w:eastAsia="Calibri" w:cs="Arial"/>
                <w:b/>
              </w:rPr>
            </w:pPr>
            <w:r>
              <w:rPr>
                <w:rFonts w:eastAsia="Calibri" w:cs="Arial"/>
                <w:b/>
              </w:rPr>
              <w:t>2020/21</w:t>
            </w:r>
          </w:p>
          <w:p w:rsidR="000701D4" w:rsidRPr="008E2ABA" w:rsidRDefault="000701D4" w:rsidP="00EA1B4A">
            <w:pPr>
              <w:rPr>
                <w:rFonts w:eastAsia="Calibri" w:cs="Arial"/>
                <w:b/>
              </w:rPr>
            </w:pPr>
          </w:p>
        </w:tc>
      </w:tr>
      <w:tr w:rsidR="000701D4" w:rsidRPr="008E2ABA" w:rsidTr="00EA1B4A">
        <w:trPr>
          <w:trHeight w:val="634"/>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b/>
                <w:sz w:val="22"/>
                <w:szCs w:val="22"/>
              </w:rPr>
            </w:pPr>
            <w:r w:rsidRPr="00DA6C78">
              <w:rPr>
                <w:rFonts w:eastAsia="Calibri" w:cs="Arial"/>
                <w:sz w:val="22"/>
                <w:szCs w:val="22"/>
              </w:rPr>
              <w:t>Policy &amp; Partnerships</w:t>
            </w:r>
          </w:p>
        </w:tc>
        <w:tc>
          <w:tcPr>
            <w:tcW w:w="5619" w:type="dxa"/>
            <w:shd w:val="clear" w:color="auto" w:fill="auto"/>
          </w:tcPr>
          <w:p w:rsidR="000701D4" w:rsidRPr="00DA6C78" w:rsidRDefault="000701D4" w:rsidP="00EA1B4A">
            <w:pPr>
              <w:rPr>
                <w:rFonts w:eastAsia="Calibri" w:cs="Arial"/>
                <w:sz w:val="22"/>
                <w:szCs w:val="22"/>
              </w:rPr>
            </w:pPr>
            <w:r w:rsidRPr="00DA6C78">
              <w:rPr>
                <w:rFonts w:eastAsia="Calibri" w:cs="Arial"/>
                <w:sz w:val="22"/>
                <w:szCs w:val="22"/>
              </w:rPr>
              <w:t xml:space="preserve">Minor restructure </w:t>
            </w:r>
            <w:r>
              <w:rPr>
                <w:rFonts w:eastAsia="Calibri" w:cs="Arial"/>
                <w:sz w:val="22"/>
                <w:szCs w:val="22"/>
              </w:rPr>
              <w:t>to achieve greater alignment of teams to corporate priorities and increased resilience – no budget implications</w:t>
            </w:r>
          </w:p>
        </w:tc>
        <w:tc>
          <w:tcPr>
            <w:tcW w:w="1112" w:type="dxa"/>
            <w:vAlign w:val="center"/>
          </w:tcPr>
          <w:p w:rsidR="000701D4" w:rsidRPr="002846BC" w:rsidRDefault="000701D4" w:rsidP="00EA1B4A">
            <w:pPr>
              <w:jc w:val="right"/>
              <w:rPr>
                <w:rFonts w:cs="Arial"/>
                <w:sz w:val="22"/>
                <w:szCs w:val="22"/>
              </w:rPr>
            </w:pPr>
            <w:r w:rsidRPr="002846BC">
              <w:rPr>
                <w:rFonts w:cs="Arial"/>
                <w:sz w:val="22"/>
                <w:szCs w:val="22"/>
              </w:rPr>
              <w:t xml:space="preserve">                  340 </w:t>
            </w:r>
          </w:p>
        </w:tc>
        <w:tc>
          <w:tcPr>
            <w:tcW w:w="1112" w:type="dxa"/>
            <w:vAlign w:val="center"/>
          </w:tcPr>
          <w:p w:rsidR="000701D4" w:rsidRDefault="000701D4" w:rsidP="00EA1B4A">
            <w:pPr>
              <w:jc w:val="right"/>
              <w:rPr>
                <w:rFonts w:cs="Arial"/>
                <w:sz w:val="22"/>
                <w:szCs w:val="22"/>
              </w:rPr>
            </w:pPr>
          </w:p>
          <w:p w:rsidR="000701D4" w:rsidRPr="002846BC" w:rsidRDefault="000701D4" w:rsidP="00EA1B4A">
            <w:pPr>
              <w:jc w:val="right"/>
              <w:rPr>
                <w:rFonts w:cs="Arial"/>
                <w:sz w:val="22"/>
                <w:szCs w:val="22"/>
              </w:rPr>
            </w:pPr>
            <w:r w:rsidRPr="002846BC">
              <w:rPr>
                <w:rFonts w:cs="Arial"/>
                <w:sz w:val="22"/>
                <w:szCs w:val="22"/>
              </w:rPr>
              <w:t>(44)</w:t>
            </w:r>
          </w:p>
        </w:tc>
        <w:tc>
          <w:tcPr>
            <w:tcW w:w="1112" w:type="dxa"/>
            <w:vAlign w:val="center"/>
          </w:tcPr>
          <w:p w:rsidR="000701D4" w:rsidRPr="002846BC" w:rsidRDefault="000701D4" w:rsidP="00EA1B4A">
            <w:pPr>
              <w:jc w:val="right"/>
              <w:rPr>
                <w:rFonts w:cs="Arial"/>
                <w:sz w:val="22"/>
                <w:szCs w:val="22"/>
              </w:rPr>
            </w:pPr>
            <w:r w:rsidRPr="002846BC">
              <w:rPr>
                <w:rFonts w:cs="Arial"/>
                <w:sz w:val="22"/>
                <w:szCs w:val="22"/>
              </w:rPr>
              <w:t xml:space="preserve">                     296 </w:t>
            </w:r>
          </w:p>
        </w:tc>
        <w:tc>
          <w:tcPr>
            <w:tcW w:w="277" w:type="dxa"/>
            <w:vMerge/>
            <w:shd w:val="clear" w:color="auto" w:fill="000000"/>
          </w:tcPr>
          <w:p w:rsidR="000701D4" w:rsidRPr="00644988" w:rsidRDefault="000701D4" w:rsidP="00EA1B4A">
            <w:pPr>
              <w:jc w:val="right"/>
              <w:rPr>
                <w:rFonts w:eastAsia="Calibri" w:cs="Arial"/>
                <w:sz w:val="22"/>
                <w:szCs w:val="22"/>
              </w:rPr>
            </w:pPr>
          </w:p>
        </w:tc>
        <w:tc>
          <w:tcPr>
            <w:tcW w:w="1112" w:type="dxa"/>
            <w:shd w:val="clear" w:color="auto" w:fill="auto"/>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12" w:type="dxa"/>
            <w:shd w:val="clear" w:color="auto" w:fill="auto"/>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12" w:type="dxa"/>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34" w:type="dxa"/>
            <w:vAlign w:val="center"/>
          </w:tcPr>
          <w:p w:rsidR="000701D4" w:rsidRPr="00DA6C78" w:rsidRDefault="000701D4" w:rsidP="00EA1B4A">
            <w:pPr>
              <w:jc w:val="right"/>
              <w:rPr>
                <w:rFonts w:eastAsia="Calibri" w:cs="Arial"/>
                <w:sz w:val="22"/>
                <w:szCs w:val="22"/>
              </w:rPr>
            </w:pPr>
            <w:r w:rsidRPr="00DA6C78">
              <w:rPr>
                <w:rFonts w:eastAsia="Calibri" w:cs="Arial"/>
                <w:sz w:val="22"/>
                <w:szCs w:val="22"/>
              </w:rPr>
              <w:t>-</w:t>
            </w:r>
          </w:p>
        </w:tc>
      </w:tr>
      <w:tr w:rsidR="000701D4" w:rsidRPr="008E2ABA" w:rsidTr="00EA1B4A">
        <w:trPr>
          <w:trHeight w:val="624"/>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b/>
                <w:sz w:val="22"/>
                <w:szCs w:val="22"/>
              </w:rPr>
            </w:pPr>
            <w:r w:rsidRPr="00DA6C78">
              <w:rPr>
                <w:rFonts w:eastAsia="Calibri" w:cs="Arial"/>
                <w:sz w:val="22"/>
                <w:szCs w:val="22"/>
              </w:rPr>
              <w:t>HR &amp; OD</w:t>
            </w:r>
          </w:p>
        </w:tc>
        <w:tc>
          <w:tcPr>
            <w:tcW w:w="5619" w:type="dxa"/>
            <w:shd w:val="clear" w:color="auto" w:fill="auto"/>
          </w:tcPr>
          <w:p w:rsidR="000701D4" w:rsidRPr="00DA6C78" w:rsidRDefault="000701D4" w:rsidP="00EA1B4A">
            <w:pPr>
              <w:rPr>
                <w:rFonts w:eastAsia="Calibri" w:cs="Arial"/>
                <w:sz w:val="22"/>
                <w:szCs w:val="22"/>
              </w:rPr>
            </w:pPr>
            <w:r w:rsidRPr="00DA6C78">
              <w:rPr>
                <w:rFonts w:eastAsia="Calibri" w:cs="Arial"/>
                <w:sz w:val="22"/>
                <w:szCs w:val="22"/>
              </w:rPr>
              <w:t>Restructure resulting in loss of three posts but supplemented by additional HR Advisors</w:t>
            </w:r>
            <w:r>
              <w:rPr>
                <w:rFonts w:eastAsia="Calibri" w:cs="Arial"/>
                <w:sz w:val="22"/>
                <w:szCs w:val="22"/>
              </w:rPr>
              <w:t xml:space="preserve"> (SEE APPENDIX C)</w:t>
            </w:r>
          </w:p>
        </w:tc>
        <w:tc>
          <w:tcPr>
            <w:tcW w:w="1112" w:type="dxa"/>
            <w:vAlign w:val="center"/>
          </w:tcPr>
          <w:p w:rsidR="000701D4" w:rsidRPr="002846BC" w:rsidRDefault="000701D4" w:rsidP="00EA1B4A">
            <w:pPr>
              <w:jc w:val="right"/>
              <w:rPr>
                <w:rFonts w:eastAsia="Calibri" w:cs="Arial"/>
                <w:sz w:val="22"/>
                <w:szCs w:val="22"/>
              </w:rPr>
            </w:pPr>
            <w:r>
              <w:rPr>
                <w:rFonts w:eastAsia="Calibri" w:cs="Arial"/>
                <w:sz w:val="22"/>
                <w:szCs w:val="22"/>
              </w:rPr>
              <w:t>655</w:t>
            </w:r>
          </w:p>
        </w:tc>
        <w:tc>
          <w:tcPr>
            <w:tcW w:w="1112" w:type="dxa"/>
            <w:vAlign w:val="center"/>
          </w:tcPr>
          <w:p w:rsidR="000701D4" w:rsidRPr="002846BC" w:rsidRDefault="000701D4" w:rsidP="00EA1B4A">
            <w:pPr>
              <w:jc w:val="right"/>
              <w:rPr>
                <w:rFonts w:eastAsia="Calibri" w:cs="Arial"/>
                <w:sz w:val="22"/>
                <w:szCs w:val="22"/>
              </w:rPr>
            </w:pPr>
            <w:r>
              <w:rPr>
                <w:rFonts w:eastAsia="Calibri" w:cs="Arial"/>
                <w:sz w:val="22"/>
                <w:szCs w:val="22"/>
              </w:rPr>
              <w:t>(23)</w:t>
            </w:r>
          </w:p>
        </w:tc>
        <w:tc>
          <w:tcPr>
            <w:tcW w:w="1112" w:type="dxa"/>
            <w:vAlign w:val="center"/>
          </w:tcPr>
          <w:p w:rsidR="000701D4" w:rsidRPr="002846BC" w:rsidRDefault="000701D4" w:rsidP="00EA1B4A">
            <w:pPr>
              <w:jc w:val="right"/>
              <w:rPr>
                <w:rFonts w:eastAsia="Calibri" w:cs="Arial"/>
                <w:sz w:val="22"/>
                <w:szCs w:val="22"/>
              </w:rPr>
            </w:pPr>
            <w:r w:rsidRPr="002846BC">
              <w:rPr>
                <w:rFonts w:eastAsia="Calibri" w:cs="Arial"/>
                <w:sz w:val="22"/>
                <w:szCs w:val="22"/>
              </w:rPr>
              <w:t>63</w:t>
            </w:r>
            <w:r>
              <w:rPr>
                <w:rFonts w:eastAsia="Calibri" w:cs="Arial"/>
                <w:sz w:val="22"/>
                <w:szCs w:val="22"/>
              </w:rPr>
              <w:t>2</w:t>
            </w:r>
          </w:p>
        </w:tc>
        <w:tc>
          <w:tcPr>
            <w:tcW w:w="277" w:type="dxa"/>
            <w:vMerge/>
            <w:shd w:val="clear" w:color="auto" w:fill="000000"/>
          </w:tcPr>
          <w:p w:rsidR="000701D4" w:rsidRPr="00644988" w:rsidRDefault="000701D4" w:rsidP="00EA1B4A">
            <w:pPr>
              <w:jc w:val="right"/>
              <w:rPr>
                <w:rFonts w:eastAsia="Calibri" w:cs="Arial"/>
                <w:sz w:val="22"/>
                <w:szCs w:val="22"/>
              </w:rPr>
            </w:pPr>
          </w:p>
        </w:tc>
        <w:tc>
          <w:tcPr>
            <w:tcW w:w="1112" w:type="dxa"/>
            <w:shd w:val="clear" w:color="auto" w:fill="auto"/>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(80)</w:t>
            </w:r>
          </w:p>
        </w:tc>
        <w:tc>
          <w:tcPr>
            <w:tcW w:w="1112" w:type="dxa"/>
            <w:shd w:val="clear" w:color="auto" w:fill="auto"/>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12" w:type="dxa"/>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34" w:type="dxa"/>
            <w:vAlign w:val="center"/>
          </w:tcPr>
          <w:p w:rsidR="000701D4" w:rsidRPr="00DA6C78" w:rsidRDefault="000701D4" w:rsidP="00EA1B4A">
            <w:pPr>
              <w:jc w:val="right"/>
              <w:rPr>
                <w:rFonts w:eastAsia="Calibri" w:cs="Arial"/>
                <w:sz w:val="22"/>
                <w:szCs w:val="22"/>
              </w:rPr>
            </w:pPr>
            <w:r>
              <w:rPr>
                <w:rFonts w:eastAsia="Calibri" w:cs="Arial"/>
                <w:sz w:val="22"/>
                <w:szCs w:val="22"/>
              </w:rPr>
              <w:t>-</w:t>
            </w:r>
          </w:p>
        </w:tc>
      </w:tr>
      <w:tr w:rsidR="000701D4" w:rsidRPr="008E2ABA" w:rsidTr="00EA1B4A">
        <w:trPr>
          <w:trHeight w:val="1041"/>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b/>
                <w:sz w:val="22"/>
                <w:szCs w:val="22"/>
              </w:rPr>
            </w:pPr>
            <w:r w:rsidRPr="00DA6C78">
              <w:rPr>
                <w:rFonts w:eastAsia="Calibri" w:cs="Arial"/>
                <w:sz w:val="22"/>
                <w:szCs w:val="22"/>
              </w:rPr>
              <w:t>Leisure Management</w:t>
            </w:r>
          </w:p>
        </w:tc>
        <w:tc>
          <w:tcPr>
            <w:tcW w:w="5619" w:type="dxa"/>
            <w:shd w:val="clear" w:color="auto" w:fill="auto"/>
          </w:tcPr>
          <w:p w:rsidR="000701D4" w:rsidRPr="00DA6C78" w:rsidRDefault="000701D4" w:rsidP="00EA1B4A">
            <w:pPr>
              <w:pStyle w:val="NoSpacing"/>
              <w:rPr>
                <w:iCs/>
              </w:rPr>
            </w:pPr>
            <w:r>
              <w:rPr>
                <w:iCs/>
              </w:rPr>
              <w:t xml:space="preserve">Review focused </w:t>
            </w:r>
            <w:r w:rsidRPr="00DA6C78">
              <w:rPr>
                <w:iCs/>
              </w:rPr>
              <w:t xml:space="preserve">on </w:t>
            </w:r>
            <w:proofErr w:type="spellStart"/>
            <w:r w:rsidRPr="00DA6C78">
              <w:rPr>
                <w:iCs/>
              </w:rPr>
              <w:t>Horsp</w:t>
            </w:r>
            <w:r>
              <w:rPr>
                <w:iCs/>
              </w:rPr>
              <w:t>ath</w:t>
            </w:r>
            <w:proofErr w:type="spellEnd"/>
            <w:r>
              <w:rPr>
                <w:iCs/>
              </w:rPr>
              <w:t xml:space="preserve"> Sport Park and concessions. Improvements to t</w:t>
            </w:r>
            <w:r w:rsidRPr="00DA6C78">
              <w:rPr>
                <w:iCs/>
              </w:rPr>
              <w:t xml:space="preserve">he </w:t>
            </w:r>
            <w:r>
              <w:rPr>
                <w:iCs/>
              </w:rPr>
              <w:t>S</w:t>
            </w:r>
            <w:r w:rsidRPr="00DA6C78">
              <w:rPr>
                <w:iCs/>
              </w:rPr>
              <w:t xml:space="preserve">ports </w:t>
            </w:r>
            <w:r>
              <w:rPr>
                <w:iCs/>
              </w:rPr>
              <w:t>P</w:t>
            </w:r>
            <w:r w:rsidRPr="00DA6C78">
              <w:rPr>
                <w:iCs/>
              </w:rPr>
              <w:t xml:space="preserve">ark </w:t>
            </w:r>
            <w:r>
              <w:rPr>
                <w:iCs/>
              </w:rPr>
              <w:t>include artificial grass pitches.</w:t>
            </w:r>
            <w:r w:rsidRPr="00DA6C78">
              <w:rPr>
                <w:iCs/>
              </w:rPr>
              <w:t xml:space="preserve"> </w:t>
            </w:r>
            <w:r>
              <w:rPr>
                <w:iCs/>
              </w:rPr>
              <w:t>The review of concessions is still being finalised.</w:t>
            </w:r>
          </w:p>
          <w:p w:rsidR="000701D4" w:rsidRPr="00DA6C78" w:rsidRDefault="000701D4" w:rsidP="00EA1B4A">
            <w:pPr>
              <w:rPr>
                <w:rFonts w:eastAsia="Calibri" w:cs="Arial"/>
                <w:sz w:val="22"/>
                <w:szCs w:val="22"/>
              </w:rPr>
            </w:pPr>
          </w:p>
        </w:tc>
        <w:tc>
          <w:tcPr>
            <w:tcW w:w="1112" w:type="dxa"/>
            <w:vAlign w:val="center"/>
          </w:tcPr>
          <w:p w:rsidR="000701D4" w:rsidRPr="002846BC" w:rsidRDefault="000701D4" w:rsidP="00EA1B4A">
            <w:pPr>
              <w:jc w:val="right"/>
              <w:rPr>
                <w:rFonts w:eastAsia="Calibri" w:cs="Arial"/>
                <w:sz w:val="22"/>
                <w:szCs w:val="22"/>
              </w:rPr>
            </w:pPr>
            <w:r>
              <w:rPr>
                <w:rFonts w:eastAsia="Calibri" w:cs="Arial"/>
                <w:sz w:val="22"/>
                <w:szCs w:val="22"/>
              </w:rPr>
              <w:t>878</w:t>
            </w:r>
          </w:p>
        </w:tc>
        <w:tc>
          <w:tcPr>
            <w:tcW w:w="1112" w:type="dxa"/>
            <w:vAlign w:val="center"/>
          </w:tcPr>
          <w:p w:rsidR="000701D4" w:rsidRPr="002846BC" w:rsidRDefault="000701D4" w:rsidP="00EA1B4A">
            <w:pPr>
              <w:jc w:val="right"/>
              <w:rPr>
                <w:rFonts w:eastAsia="Calibri" w:cs="Arial"/>
                <w:sz w:val="22"/>
                <w:szCs w:val="22"/>
              </w:rPr>
            </w:pPr>
            <w:r>
              <w:rPr>
                <w:rFonts w:eastAsia="Calibri" w:cs="Arial"/>
                <w:sz w:val="22"/>
                <w:szCs w:val="22"/>
              </w:rPr>
              <w:t>(328)</w:t>
            </w:r>
          </w:p>
        </w:tc>
        <w:tc>
          <w:tcPr>
            <w:tcW w:w="1112" w:type="dxa"/>
            <w:vAlign w:val="center"/>
          </w:tcPr>
          <w:p w:rsidR="000701D4" w:rsidRPr="002846BC" w:rsidRDefault="000701D4" w:rsidP="00EA1B4A">
            <w:pPr>
              <w:jc w:val="right"/>
              <w:rPr>
                <w:rFonts w:eastAsia="Calibri" w:cs="Arial"/>
                <w:sz w:val="22"/>
                <w:szCs w:val="22"/>
              </w:rPr>
            </w:pPr>
            <w:r w:rsidRPr="002846BC">
              <w:rPr>
                <w:rFonts w:eastAsia="Calibri" w:cs="Arial"/>
                <w:sz w:val="22"/>
                <w:szCs w:val="22"/>
              </w:rPr>
              <w:t>550</w:t>
            </w:r>
          </w:p>
        </w:tc>
        <w:tc>
          <w:tcPr>
            <w:tcW w:w="277" w:type="dxa"/>
            <w:vMerge/>
            <w:shd w:val="clear" w:color="auto" w:fill="000000"/>
          </w:tcPr>
          <w:p w:rsidR="000701D4" w:rsidRPr="00644988" w:rsidRDefault="000701D4" w:rsidP="00EA1B4A">
            <w:pPr>
              <w:jc w:val="right"/>
              <w:rPr>
                <w:rFonts w:eastAsia="Calibri" w:cs="Arial"/>
                <w:sz w:val="22"/>
                <w:szCs w:val="22"/>
              </w:rPr>
            </w:pPr>
          </w:p>
        </w:tc>
        <w:tc>
          <w:tcPr>
            <w:tcW w:w="1112" w:type="dxa"/>
            <w:shd w:val="clear" w:color="auto" w:fill="auto"/>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12" w:type="dxa"/>
            <w:shd w:val="clear" w:color="auto" w:fill="auto"/>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12" w:type="dxa"/>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34" w:type="dxa"/>
            <w:vAlign w:val="center"/>
          </w:tcPr>
          <w:p w:rsidR="000701D4" w:rsidRPr="00DA6C78" w:rsidRDefault="000701D4" w:rsidP="00EA1B4A">
            <w:pPr>
              <w:jc w:val="right"/>
              <w:rPr>
                <w:rFonts w:eastAsia="Calibri" w:cs="Arial"/>
                <w:sz w:val="22"/>
                <w:szCs w:val="22"/>
              </w:rPr>
            </w:pPr>
            <w:r w:rsidRPr="00DA6C78">
              <w:rPr>
                <w:rFonts w:eastAsia="Calibri" w:cs="Arial"/>
                <w:sz w:val="22"/>
                <w:szCs w:val="22"/>
              </w:rPr>
              <w:t>-</w:t>
            </w:r>
          </w:p>
        </w:tc>
      </w:tr>
      <w:tr w:rsidR="000701D4" w:rsidRPr="008E2ABA" w:rsidTr="00EA1B4A">
        <w:trPr>
          <w:trHeight w:val="1665"/>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b/>
                <w:sz w:val="22"/>
                <w:szCs w:val="22"/>
              </w:rPr>
            </w:pPr>
            <w:r w:rsidRPr="00DA6C78">
              <w:rPr>
                <w:rFonts w:eastAsia="Calibri" w:cs="Arial"/>
                <w:sz w:val="22"/>
                <w:szCs w:val="22"/>
              </w:rPr>
              <w:t>Building Services</w:t>
            </w:r>
          </w:p>
        </w:tc>
        <w:tc>
          <w:tcPr>
            <w:tcW w:w="5619" w:type="dxa"/>
            <w:shd w:val="clear" w:color="auto" w:fill="auto"/>
          </w:tcPr>
          <w:p w:rsidR="000701D4" w:rsidRPr="00DA6C78" w:rsidRDefault="000701D4" w:rsidP="00EA1B4A">
            <w:pPr>
              <w:rPr>
                <w:rFonts w:cs="Arial"/>
                <w:sz w:val="22"/>
                <w:szCs w:val="22"/>
              </w:rPr>
            </w:pPr>
            <w:r>
              <w:rPr>
                <w:rFonts w:cs="Arial"/>
                <w:sz w:val="22"/>
                <w:szCs w:val="22"/>
              </w:rPr>
              <w:t xml:space="preserve">Review set within the wider context of senior management changes, </w:t>
            </w:r>
            <w:proofErr w:type="spellStart"/>
            <w:r>
              <w:rPr>
                <w:rFonts w:cs="Arial"/>
                <w:sz w:val="22"/>
                <w:szCs w:val="22"/>
              </w:rPr>
              <w:t>LATCo</w:t>
            </w:r>
            <w:proofErr w:type="spellEnd"/>
            <w:r>
              <w:rPr>
                <w:rFonts w:cs="Arial"/>
                <w:sz w:val="22"/>
                <w:szCs w:val="22"/>
              </w:rPr>
              <w:t>, new Building Services model and DSO transformation. Initial recommendations identified improvements to void turnaround time, increased turnover, reduction in overheads and introduction of ongoing productivity improvements.  (SEE APPENDIX D)</w:t>
            </w:r>
          </w:p>
          <w:p w:rsidR="000701D4" w:rsidRPr="00DA6C78" w:rsidRDefault="000701D4" w:rsidP="00EA1B4A">
            <w:pPr>
              <w:rPr>
                <w:rFonts w:eastAsia="Calibri" w:cs="Arial"/>
                <w:sz w:val="22"/>
                <w:szCs w:val="22"/>
              </w:rPr>
            </w:pPr>
          </w:p>
        </w:tc>
        <w:tc>
          <w:tcPr>
            <w:tcW w:w="1112" w:type="dxa"/>
            <w:vAlign w:val="center"/>
          </w:tcPr>
          <w:p w:rsidR="000701D4" w:rsidRPr="002846BC" w:rsidRDefault="000701D4" w:rsidP="00EA1B4A">
            <w:pPr>
              <w:jc w:val="right"/>
              <w:rPr>
                <w:rFonts w:cs="Arial"/>
                <w:sz w:val="22"/>
                <w:szCs w:val="22"/>
              </w:rPr>
            </w:pPr>
            <w:r>
              <w:rPr>
                <w:rFonts w:cs="Arial"/>
                <w:sz w:val="22"/>
                <w:szCs w:val="22"/>
              </w:rPr>
              <w:t>15139</w:t>
            </w:r>
          </w:p>
        </w:tc>
        <w:tc>
          <w:tcPr>
            <w:tcW w:w="1112" w:type="dxa"/>
            <w:vAlign w:val="center"/>
          </w:tcPr>
          <w:p w:rsidR="000701D4" w:rsidRPr="002846BC" w:rsidRDefault="000701D4" w:rsidP="00EA1B4A">
            <w:pPr>
              <w:jc w:val="right"/>
              <w:rPr>
                <w:rFonts w:cs="Arial"/>
                <w:sz w:val="22"/>
                <w:szCs w:val="22"/>
              </w:rPr>
            </w:pPr>
            <w:r>
              <w:rPr>
                <w:rFonts w:cs="Arial"/>
                <w:sz w:val="22"/>
                <w:szCs w:val="22"/>
              </w:rPr>
              <w:t>(1053)</w:t>
            </w:r>
          </w:p>
        </w:tc>
        <w:tc>
          <w:tcPr>
            <w:tcW w:w="1112" w:type="dxa"/>
            <w:vAlign w:val="center"/>
          </w:tcPr>
          <w:p w:rsidR="000701D4" w:rsidRPr="002846BC" w:rsidRDefault="000701D4" w:rsidP="00EA1B4A">
            <w:pPr>
              <w:jc w:val="right"/>
              <w:rPr>
                <w:rFonts w:cs="Arial"/>
                <w:sz w:val="22"/>
                <w:szCs w:val="22"/>
              </w:rPr>
            </w:pPr>
            <w:r>
              <w:rPr>
                <w:rFonts w:cs="Arial"/>
                <w:sz w:val="22"/>
                <w:szCs w:val="22"/>
              </w:rPr>
              <w:t>14086</w:t>
            </w:r>
          </w:p>
        </w:tc>
        <w:tc>
          <w:tcPr>
            <w:tcW w:w="277" w:type="dxa"/>
            <w:vMerge/>
            <w:shd w:val="clear" w:color="auto" w:fill="000000"/>
          </w:tcPr>
          <w:p w:rsidR="000701D4" w:rsidRPr="00644988" w:rsidRDefault="000701D4" w:rsidP="00EA1B4A">
            <w:pPr>
              <w:jc w:val="right"/>
              <w:rPr>
                <w:rFonts w:cs="Arial"/>
                <w:sz w:val="22"/>
                <w:szCs w:val="22"/>
              </w:rPr>
            </w:pPr>
          </w:p>
        </w:tc>
        <w:tc>
          <w:tcPr>
            <w:tcW w:w="1112" w:type="dxa"/>
            <w:shd w:val="clear" w:color="auto" w:fill="auto"/>
            <w:vAlign w:val="center"/>
          </w:tcPr>
          <w:p w:rsidR="000701D4" w:rsidRDefault="000701D4" w:rsidP="00EA1B4A">
            <w:pPr>
              <w:jc w:val="right"/>
              <w:rPr>
                <w:rFonts w:cs="Arial"/>
                <w:sz w:val="22"/>
                <w:szCs w:val="22"/>
              </w:rPr>
            </w:pPr>
            <w:r w:rsidRPr="00644988">
              <w:rPr>
                <w:rFonts w:cs="Arial"/>
                <w:sz w:val="22"/>
                <w:szCs w:val="22"/>
              </w:rPr>
              <w:t xml:space="preserve"> </w:t>
            </w:r>
          </w:p>
          <w:p w:rsidR="000701D4" w:rsidRPr="00644988" w:rsidRDefault="000701D4" w:rsidP="00EA1B4A">
            <w:pPr>
              <w:jc w:val="right"/>
              <w:rPr>
                <w:rFonts w:cs="Arial"/>
                <w:sz w:val="22"/>
                <w:szCs w:val="22"/>
              </w:rPr>
            </w:pPr>
            <w:r w:rsidRPr="00644988">
              <w:rPr>
                <w:rFonts w:cs="Arial"/>
                <w:sz w:val="22"/>
                <w:szCs w:val="22"/>
              </w:rPr>
              <w:t>(57)</w:t>
            </w:r>
          </w:p>
          <w:p w:rsidR="000701D4" w:rsidRPr="00644988" w:rsidRDefault="000701D4" w:rsidP="00EA1B4A">
            <w:pPr>
              <w:jc w:val="right"/>
              <w:rPr>
                <w:rFonts w:cs="Arial"/>
                <w:sz w:val="22"/>
                <w:szCs w:val="22"/>
              </w:rPr>
            </w:pP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 xml:space="preserve"> (60)</w:t>
            </w:r>
          </w:p>
        </w:tc>
        <w:tc>
          <w:tcPr>
            <w:tcW w:w="1112" w:type="dxa"/>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34" w:type="dxa"/>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r>
      <w:tr w:rsidR="000701D4" w:rsidRPr="008E2ABA" w:rsidTr="00EA1B4A">
        <w:trPr>
          <w:trHeight w:val="1675"/>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b/>
                <w:sz w:val="22"/>
                <w:szCs w:val="22"/>
              </w:rPr>
            </w:pPr>
            <w:r w:rsidRPr="00DA6C78">
              <w:rPr>
                <w:rFonts w:eastAsia="Calibri" w:cs="Arial"/>
                <w:sz w:val="22"/>
                <w:szCs w:val="22"/>
              </w:rPr>
              <w:t>Waste &amp; Recycling</w:t>
            </w:r>
          </w:p>
        </w:tc>
        <w:tc>
          <w:tcPr>
            <w:tcW w:w="5619" w:type="dxa"/>
            <w:shd w:val="clear" w:color="auto" w:fill="auto"/>
          </w:tcPr>
          <w:p w:rsidR="000701D4" w:rsidRPr="00DA6C78" w:rsidRDefault="000701D4" w:rsidP="00EA1B4A">
            <w:pPr>
              <w:rPr>
                <w:rFonts w:eastAsia="Calibri" w:cs="Arial"/>
                <w:sz w:val="22"/>
                <w:szCs w:val="22"/>
              </w:rPr>
            </w:pPr>
            <w:r>
              <w:rPr>
                <w:rFonts w:eastAsia="Calibri" w:cs="Arial"/>
                <w:sz w:val="22"/>
                <w:szCs w:val="22"/>
              </w:rPr>
              <w:t xml:space="preserve">Technical consultant WYG engaged to undertake comprehensive </w:t>
            </w:r>
            <w:proofErr w:type="spellStart"/>
            <w:r>
              <w:rPr>
                <w:rFonts w:eastAsia="Calibri" w:cs="Arial"/>
                <w:sz w:val="22"/>
                <w:szCs w:val="22"/>
              </w:rPr>
              <w:t>VfM</w:t>
            </w:r>
            <w:proofErr w:type="spellEnd"/>
            <w:r>
              <w:rPr>
                <w:rFonts w:eastAsia="Calibri" w:cs="Arial"/>
                <w:sz w:val="22"/>
                <w:szCs w:val="22"/>
              </w:rPr>
              <w:t xml:space="preserve"> review June 2016. Review concluded that the service was high performing and low cost therefore any additional opportunities for operational cost reductions are limited. Potential opportunities include charges for discretionary services. Garden Waste identified for </w:t>
            </w:r>
            <w:r w:rsidRPr="00DA6C78">
              <w:rPr>
                <w:rFonts w:eastAsia="Calibri" w:cs="Arial"/>
                <w:sz w:val="22"/>
                <w:szCs w:val="22"/>
              </w:rPr>
              <w:t>move towards full cost recovery</w:t>
            </w:r>
            <w:r>
              <w:rPr>
                <w:rFonts w:eastAsia="Calibri" w:cs="Arial"/>
                <w:sz w:val="22"/>
                <w:szCs w:val="22"/>
              </w:rPr>
              <w:t xml:space="preserve"> (SEE APPENDIX E)</w:t>
            </w:r>
          </w:p>
        </w:tc>
        <w:tc>
          <w:tcPr>
            <w:tcW w:w="1112" w:type="dxa"/>
            <w:vAlign w:val="center"/>
          </w:tcPr>
          <w:p w:rsidR="000701D4" w:rsidRPr="00644988" w:rsidRDefault="000701D4" w:rsidP="00EA1B4A">
            <w:pPr>
              <w:jc w:val="right"/>
              <w:rPr>
                <w:rFonts w:eastAsia="Calibri" w:cs="Arial"/>
                <w:sz w:val="22"/>
                <w:szCs w:val="22"/>
              </w:rPr>
            </w:pPr>
            <w:r>
              <w:rPr>
                <w:rFonts w:eastAsia="Calibri" w:cs="Arial"/>
                <w:sz w:val="22"/>
                <w:szCs w:val="22"/>
              </w:rPr>
              <w:t>5531</w:t>
            </w:r>
          </w:p>
        </w:tc>
        <w:tc>
          <w:tcPr>
            <w:tcW w:w="1112" w:type="dxa"/>
            <w:vAlign w:val="center"/>
          </w:tcPr>
          <w:p w:rsidR="000701D4" w:rsidRPr="00644988" w:rsidRDefault="000701D4" w:rsidP="00EA1B4A">
            <w:pPr>
              <w:jc w:val="right"/>
              <w:rPr>
                <w:rFonts w:eastAsia="Calibri" w:cs="Arial"/>
                <w:sz w:val="22"/>
                <w:szCs w:val="22"/>
              </w:rPr>
            </w:pPr>
            <w:r>
              <w:rPr>
                <w:rFonts w:eastAsia="Calibri" w:cs="Arial"/>
                <w:sz w:val="22"/>
                <w:szCs w:val="22"/>
              </w:rPr>
              <w:t>(4505)</w:t>
            </w:r>
          </w:p>
        </w:tc>
        <w:tc>
          <w:tcPr>
            <w:tcW w:w="1112" w:type="dxa"/>
            <w:vAlign w:val="center"/>
          </w:tcPr>
          <w:p w:rsidR="000701D4" w:rsidRPr="00644988" w:rsidRDefault="000701D4" w:rsidP="00EA1B4A">
            <w:pPr>
              <w:jc w:val="right"/>
              <w:rPr>
                <w:rFonts w:eastAsia="Calibri" w:cs="Arial"/>
                <w:sz w:val="22"/>
                <w:szCs w:val="22"/>
              </w:rPr>
            </w:pPr>
            <w:r>
              <w:rPr>
                <w:rFonts w:eastAsia="Calibri" w:cs="Arial"/>
                <w:sz w:val="22"/>
                <w:szCs w:val="22"/>
              </w:rPr>
              <w:t>1026</w:t>
            </w:r>
          </w:p>
        </w:tc>
        <w:tc>
          <w:tcPr>
            <w:tcW w:w="277" w:type="dxa"/>
            <w:shd w:val="clear" w:color="auto" w:fill="000000"/>
          </w:tcPr>
          <w:p w:rsidR="000701D4" w:rsidRPr="008E2ABA" w:rsidRDefault="000701D4" w:rsidP="00EA1B4A">
            <w:pPr>
              <w:jc w:val="center"/>
              <w:rPr>
                <w:rFonts w:eastAsia="Calibri" w:cs="Arial"/>
                <w:b/>
              </w:rPr>
            </w:pPr>
          </w:p>
        </w:tc>
        <w:tc>
          <w:tcPr>
            <w:tcW w:w="1112" w:type="dxa"/>
            <w:shd w:val="clear" w:color="auto" w:fill="auto"/>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12" w:type="dxa"/>
            <w:shd w:val="clear" w:color="auto" w:fill="auto"/>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12" w:type="dxa"/>
            <w:vAlign w:val="center"/>
          </w:tcPr>
          <w:p w:rsidR="000701D4" w:rsidRPr="00644988" w:rsidRDefault="000701D4" w:rsidP="00EA1B4A">
            <w:pPr>
              <w:jc w:val="right"/>
              <w:rPr>
                <w:rFonts w:eastAsia="Calibri" w:cs="Arial"/>
                <w:sz w:val="22"/>
                <w:szCs w:val="22"/>
              </w:rPr>
            </w:pPr>
            <w:r w:rsidRPr="00644988">
              <w:rPr>
                <w:rFonts w:eastAsia="Calibri" w:cs="Arial"/>
                <w:sz w:val="22"/>
                <w:szCs w:val="22"/>
              </w:rPr>
              <w:t>-</w:t>
            </w:r>
          </w:p>
        </w:tc>
        <w:tc>
          <w:tcPr>
            <w:tcW w:w="1134" w:type="dxa"/>
            <w:vAlign w:val="center"/>
          </w:tcPr>
          <w:p w:rsidR="000701D4" w:rsidRDefault="000701D4" w:rsidP="00EA1B4A">
            <w:pPr>
              <w:jc w:val="right"/>
              <w:rPr>
                <w:rFonts w:cs="Arial"/>
                <w:sz w:val="22"/>
                <w:szCs w:val="22"/>
              </w:rPr>
            </w:pPr>
          </w:p>
          <w:p w:rsidR="000701D4" w:rsidRDefault="000701D4" w:rsidP="00EA1B4A">
            <w:pPr>
              <w:jc w:val="right"/>
              <w:rPr>
                <w:rFonts w:cs="Arial"/>
                <w:sz w:val="22"/>
                <w:szCs w:val="22"/>
              </w:rPr>
            </w:pPr>
          </w:p>
          <w:p w:rsidR="000701D4" w:rsidRPr="00644988" w:rsidRDefault="000701D4" w:rsidP="00EA1B4A">
            <w:pPr>
              <w:jc w:val="right"/>
              <w:rPr>
                <w:rFonts w:cs="Arial"/>
                <w:sz w:val="22"/>
                <w:szCs w:val="22"/>
              </w:rPr>
            </w:pPr>
            <w:r w:rsidRPr="00644988">
              <w:rPr>
                <w:rFonts w:cs="Arial"/>
                <w:sz w:val="22"/>
                <w:szCs w:val="22"/>
              </w:rPr>
              <w:t>(16)</w:t>
            </w:r>
          </w:p>
          <w:p w:rsidR="000701D4" w:rsidRPr="00644988" w:rsidRDefault="000701D4" w:rsidP="00EA1B4A">
            <w:pPr>
              <w:jc w:val="right"/>
              <w:rPr>
                <w:rFonts w:eastAsia="Calibri" w:cs="Arial"/>
                <w:sz w:val="22"/>
                <w:szCs w:val="22"/>
              </w:rPr>
            </w:pPr>
          </w:p>
          <w:p w:rsidR="000701D4" w:rsidRPr="00644988" w:rsidRDefault="000701D4" w:rsidP="00EA1B4A">
            <w:pPr>
              <w:jc w:val="right"/>
              <w:rPr>
                <w:rFonts w:eastAsia="Calibri" w:cs="Arial"/>
                <w:sz w:val="22"/>
                <w:szCs w:val="22"/>
              </w:rPr>
            </w:pPr>
          </w:p>
        </w:tc>
      </w:tr>
      <w:tr w:rsidR="000701D4" w:rsidRPr="008E2ABA" w:rsidTr="00EA1B4A">
        <w:trPr>
          <w:trHeight w:val="1051"/>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b/>
                <w:sz w:val="22"/>
                <w:szCs w:val="22"/>
              </w:rPr>
            </w:pPr>
            <w:r w:rsidRPr="00DA6C78">
              <w:rPr>
                <w:rFonts w:eastAsia="Calibri" w:cs="Arial"/>
                <w:sz w:val="22"/>
                <w:szCs w:val="22"/>
              </w:rPr>
              <w:t>Procurement &amp; Payments</w:t>
            </w:r>
          </w:p>
        </w:tc>
        <w:tc>
          <w:tcPr>
            <w:tcW w:w="5619" w:type="dxa"/>
            <w:shd w:val="clear" w:color="auto" w:fill="auto"/>
          </w:tcPr>
          <w:p w:rsidR="000701D4" w:rsidRDefault="000701D4" w:rsidP="00EA1B4A">
            <w:pPr>
              <w:rPr>
                <w:rFonts w:eastAsia="Calibri" w:cs="Arial"/>
                <w:sz w:val="22"/>
                <w:szCs w:val="22"/>
              </w:rPr>
            </w:pPr>
            <w:r w:rsidRPr="003A6535">
              <w:rPr>
                <w:rFonts w:eastAsia="Calibri" w:cs="Arial"/>
                <w:sz w:val="22"/>
                <w:szCs w:val="22"/>
                <w:u w:val="single"/>
              </w:rPr>
              <w:t>Procurement</w:t>
            </w:r>
            <w:r>
              <w:rPr>
                <w:rFonts w:eastAsia="Calibri" w:cs="Arial"/>
                <w:sz w:val="22"/>
                <w:szCs w:val="22"/>
              </w:rPr>
              <w:t xml:space="preserve">: implement restructure to create career-grade posts in place of specialist posts; progress and further support a devolved procurement model to facilitate more focused work programme driving out additional savings over and above original budget submissions linked to specific contracts;  redesign </w:t>
            </w:r>
            <w:r>
              <w:rPr>
                <w:rFonts w:eastAsia="Calibri" w:cs="Arial"/>
                <w:sz w:val="22"/>
                <w:szCs w:val="22"/>
              </w:rPr>
              <w:lastRenderedPageBreak/>
              <w:t xml:space="preserve">processes and improve P2P system as part of </w:t>
            </w:r>
            <w:proofErr w:type="spellStart"/>
            <w:r>
              <w:rPr>
                <w:rFonts w:eastAsia="Calibri" w:cs="Arial"/>
                <w:sz w:val="22"/>
                <w:szCs w:val="22"/>
              </w:rPr>
              <w:t>Agresso</w:t>
            </w:r>
            <w:proofErr w:type="spellEnd"/>
            <w:r>
              <w:rPr>
                <w:rFonts w:eastAsia="Calibri" w:cs="Arial"/>
                <w:sz w:val="22"/>
                <w:szCs w:val="22"/>
              </w:rPr>
              <w:t xml:space="preserve"> upgrade; revise Contract Management Framework; introduce SLA for internal customers; improved engagement with external suppliers</w:t>
            </w:r>
          </w:p>
          <w:p w:rsidR="000701D4" w:rsidRDefault="000701D4" w:rsidP="00EA1B4A">
            <w:pPr>
              <w:rPr>
                <w:rFonts w:eastAsia="Calibri" w:cs="Arial"/>
                <w:sz w:val="22"/>
                <w:szCs w:val="22"/>
              </w:rPr>
            </w:pPr>
            <w:r w:rsidRPr="003A6535">
              <w:rPr>
                <w:rFonts w:eastAsia="Calibri" w:cs="Arial"/>
                <w:sz w:val="22"/>
                <w:szCs w:val="22"/>
                <w:u w:val="single"/>
              </w:rPr>
              <w:t>Payments</w:t>
            </w:r>
            <w:r>
              <w:rPr>
                <w:rFonts w:eastAsia="Calibri" w:cs="Arial"/>
                <w:sz w:val="22"/>
                <w:szCs w:val="22"/>
              </w:rPr>
              <w:t xml:space="preserve">: No changes to staffing structure but process efficiencies to be introduced alongside greater focus on performance improvements </w:t>
            </w:r>
          </w:p>
          <w:p w:rsidR="000701D4" w:rsidRPr="00DA6C78" w:rsidRDefault="000701D4" w:rsidP="00EA1B4A">
            <w:pPr>
              <w:rPr>
                <w:rFonts w:eastAsia="Calibri" w:cs="Arial"/>
                <w:sz w:val="22"/>
                <w:szCs w:val="22"/>
              </w:rPr>
            </w:pPr>
            <w:r>
              <w:rPr>
                <w:rFonts w:eastAsia="Calibri" w:cs="Arial"/>
                <w:sz w:val="22"/>
                <w:szCs w:val="22"/>
              </w:rPr>
              <w:t>(SEE APPENDIX F)</w:t>
            </w:r>
          </w:p>
        </w:tc>
        <w:tc>
          <w:tcPr>
            <w:tcW w:w="1112" w:type="dxa"/>
            <w:vAlign w:val="center"/>
          </w:tcPr>
          <w:p w:rsidR="000701D4" w:rsidRPr="00644988" w:rsidRDefault="000701D4" w:rsidP="00EA1B4A">
            <w:pPr>
              <w:jc w:val="center"/>
              <w:rPr>
                <w:rFonts w:cs="Arial"/>
                <w:sz w:val="22"/>
                <w:szCs w:val="22"/>
              </w:rPr>
            </w:pPr>
            <w:r>
              <w:rPr>
                <w:rFonts w:cs="Arial"/>
                <w:sz w:val="22"/>
                <w:szCs w:val="22"/>
              </w:rPr>
              <w:lastRenderedPageBreak/>
              <w:t>466</w:t>
            </w:r>
          </w:p>
        </w:tc>
        <w:tc>
          <w:tcPr>
            <w:tcW w:w="1112" w:type="dxa"/>
            <w:vAlign w:val="center"/>
          </w:tcPr>
          <w:p w:rsidR="000701D4" w:rsidRPr="00644988" w:rsidRDefault="000701D4" w:rsidP="00EA1B4A">
            <w:pPr>
              <w:jc w:val="center"/>
              <w:rPr>
                <w:rFonts w:cs="Arial"/>
                <w:sz w:val="22"/>
                <w:szCs w:val="22"/>
              </w:rPr>
            </w:pPr>
            <w:r>
              <w:rPr>
                <w:rFonts w:cs="Arial"/>
                <w:sz w:val="22"/>
                <w:szCs w:val="22"/>
              </w:rPr>
              <w:t>(133)</w:t>
            </w:r>
          </w:p>
        </w:tc>
        <w:tc>
          <w:tcPr>
            <w:tcW w:w="1112" w:type="dxa"/>
            <w:vAlign w:val="center"/>
          </w:tcPr>
          <w:p w:rsidR="000701D4" w:rsidRPr="00644988" w:rsidRDefault="000701D4" w:rsidP="00EA1B4A">
            <w:pPr>
              <w:jc w:val="center"/>
              <w:rPr>
                <w:rFonts w:cs="Arial"/>
                <w:sz w:val="22"/>
                <w:szCs w:val="22"/>
              </w:rPr>
            </w:pPr>
            <w:r>
              <w:rPr>
                <w:rFonts w:cs="Arial"/>
                <w:sz w:val="22"/>
                <w:szCs w:val="22"/>
              </w:rPr>
              <w:t>333</w:t>
            </w:r>
          </w:p>
        </w:tc>
        <w:tc>
          <w:tcPr>
            <w:tcW w:w="277" w:type="dxa"/>
            <w:shd w:val="clear" w:color="auto" w:fill="000000"/>
          </w:tcPr>
          <w:p w:rsidR="000701D4" w:rsidRPr="00644988" w:rsidRDefault="000701D4" w:rsidP="00EA1B4A">
            <w:pPr>
              <w:jc w:val="center"/>
              <w:rPr>
                <w:rFonts w:cs="Arial"/>
                <w:sz w:val="22"/>
                <w:szCs w:val="22"/>
              </w:rPr>
            </w:pP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 xml:space="preserve"> (46)</w:t>
            </w: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 xml:space="preserve"> (114)</w:t>
            </w:r>
          </w:p>
        </w:tc>
        <w:tc>
          <w:tcPr>
            <w:tcW w:w="1112" w:type="dxa"/>
            <w:vAlign w:val="center"/>
          </w:tcPr>
          <w:p w:rsidR="000701D4" w:rsidRPr="00644988" w:rsidRDefault="000701D4" w:rsidP="00EA1B4A">
            <w:pPr>
              <w:jc w:val="right"/>
              <w:rPr>
                <w:rFonts w:cs="Arial"/>
                <w:sz w:val="22"/>
                <w:szCs w:val="22"/>
              </w:rPr>
            </w:pPr>
            <w:r w:rsidRPr="00644988">
              <w:rPr>
                <w:rFonts w:cs="Arial"/>
                <w:sz w:val="22"/>
                <w:szCs w:val="22"/>
              </w:rPr>
              <w:t xml:space="preserve"> (95)</w:t>
            </w:r>
          </w:p>
        </w:tc>
        <w:tc>
          <w:tcPr>
            <w:tcW w:w="1134" w:type="dxa"/>
            <w:vAlign w:val="center"/>
          </w:tcPr>
          <w:p w:rsidR="000701D4" w:rsidRPr="00644988" w:rsidRDefault="000701D4" w:rsidP="00EA1B4A">
            <w:pPr>
              <w:jc w:val="right"/>
              <w:rPr>
                <w:rFonts w:cs="Arial"/>
                <w:sz w:val="22"/>
                <w:szCs w:val="22"/>
              </w:rPr>
            </w:pPr>
            <w:r w:rsidRPr="00644988">
              <w:rPr>
                <w:rFonts w:cs="Arial"/>
                <w:sz w:val="22"/>
                <w:szCs w:val="22"/>
              </w:rPr>
              <w:t>23</w:t>
            </w:r>
          </w:p>
        </w:tc>
      </w:tr>
      <w:tr w:rsidR="000701D4" w:rsidRPr="008E2ABA" w:rsidTr="00EA1B4A">
        <w:trPr>
          <w:trHeight w:val="119"/>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b/>
                <w:sz w:val="22"/>
                <w:szCs w:val="22"/>
              </w:rPr>
            </w:pPr>
            <w:r w:rsidRPr="00DA6C78">
              <w:rPr>
                <w:rFonts w:eastAsia="Calibri" w:cs="Arial"/>
                <w:sz w:val="22"/>
                <w:szCs w:val="22"/>
              </w:rPr>
              <w:lastRenderedPageBreak/>
              <w:t>Community Housing</w:t>
            </w:r>
            <w:r>
              <w:rPr>
                <w:rFonts w:eastAsia="Calibri" w:cs="Arial"/>
                <w:sz w:val="22"/>
                <w:szCs w:val="22"/>
              </w:rPr>
              <w:t xml:space="preserve"> &amp; Strategy</w:t>
            </w:r>
          </w:p>
        </w:tc>
        <w:tc>
          <w:tcPr>
            <w:tcW w:w="5619" w:type="dxa"/>
            <w:shd w:val="clear" w:color="auto" w:fill="auto"/>
          </w:tcPr>
          <w:p w:rsidR="000701D4" w:rsidRPr="00DA6C78" w:rsidRDefault="000701D4" w:rsidP="00EA1B4A">
            <w:pPr>
              <w:rPr>
                <w:rFonts w:eastAsia="Calibri" w:cs="Arial"/>
                <w:sz w:val="22"/>
                <w:szCs w:val="22"/>
              </w:rPr>
            </w:pPr>
            <w:r>
              <w:rPr>
                <w:rFonts w:eastAsia="Calibri" w:cs="Arial"/>
                <w:sz w:val="22"/>
                <w:szCs w:val="22"/>
              </w:rPr>
              <w:t>Focus on improving the Council’s Housing Benefits s</w:t>
            </w:r>
            <w:r w:rsidRPr="00DA6C78">
              <w:rPr>
                <w:rFonts w:eastAsia="Calibri" w:cs="Arial"/>
                <w:sz w:val="22"/>
                <w:szCs w:val="22"/>
              </w:rPr>
              <w:t>ubsidy</w:t>
            </w:r>
            <w:r w:rsidRPr="00DA6C78">
              <w:rPr>
                <w:rFonts w:cs="Arial"/>
                <w:sz w:val="22"/>
                <w:szCs w:val="22"/>
              </w:rPr>
              <w:t xml:space="preserve"> </w:t>
            </w:r>
            <w:r>
              <w:rPr>
                <w:rFonts w:cs="Arial"/>
                <w:sz w:val="22"/>
                <w:szCs w:val="22"/>
              </w:rPr>
              <w:t>position including smarter commissioning of supported housing accommodation</w:t>
            </w:r>
            <w:r w:rsidRPr="00DA6C78">
              <w:rPr>
                <w:rFonts w:cs="Arial"/>
                <w:sz w:val="22"/>
                <w:szCs w:val="22"/>
              </w:rPr>
              <w:t xml:space="preserve"> to mitigate loss of subsidy</w:t>
            </w:r>
            <w:r>
              <w:rPr>
                <w:rFonts w:cs="Arial"/>
                <w:sz w:val="22"/>
                <w:szCs w:val="22"/>
              </w:rPr>
              <w:t xml:space="preserve"> (SEE APPENDIX G)</w:t>
            </w:r>
          </w:p>
        </w:tc>
        <w:tc>
          <w:tcPr>
            <w:tcW w:w="1112" w:type="dxa"/>
            <w:vAlign w:val="center"/>
          </w:tcPr>
          <w:p w:rsidR="000701D4" w:rsidRPr="00644988" w:rsidRDefault="000701D4" w:rsidP="00EA1B4A">
            <w:pPr>
              <w:jc w:val="right"/>
              <w:rPr>
                <w:rFonts w:cs="Arial"/>
                <w:sz w:val="22"/>
                <w:szCs w:val="22"/>
              </w:rPr>
            </w:pPr>
            <w:r>
              <w:rPr>
                <w:rFonts w:cs="Arial"/>
                <w:sz w:val="22"/>
                <w:szCs w:val="22"/>
              </w:rPr>
              <w:t>611</w:t>
            </w:r>
          </w:p>
        </w:tc>
        <w:tc>
          <w:tcPr>
            <w:tcW w:w="1112" w:type="dxa"/>
            <w:vAlign w:val="center"/>
          </w:tcPr>
          <w:p w:rsidR="000701D4" w:rsidRPr="00644988" w:rsidRDefault="000701D4" w:rsidP="00EA1B4A">
            <w:pPr>
              <w:jc w:val="right"/>
              <w:rPr>
                <w:rFonts w:cs="Arial"/>
                <w:sz w:val="22"/>
                <w:szCs w:val="22"/>
              </w:rPr>
            </w:pPr>
            <w:r>
              <w:rPr>
                <w:rFonts w:cs="Arial"/>
                <w:sz w:val="22"/>
                <w:szCs w:val="22"/>
              </w:rPr>
              <w:t>(150)</w:t>
            </w:r>
          </w:p>
        </w:tc>
        <w:tc>
          <w:tcPr>
            <w:tcW w:w="1112" w:type="dxa"/>
            <w:vAlign w:val="center"/>
          </w:tcPr>
          <w:p w:rsidR="000701D4" w:rsidRPr="00644988" w:rsidRDefault="000701D4" w:rsidP="00EA1B4A">
            <w:pPr>
              <w:jc w:val="right"/>
              <w:rPr>
                <w:rFonts w:cs="Arial"/>
                <w:sz w:val="22"/>
                <w:szCs w:val="22"/>
              </w:rPr>
            </w:pPr>
            <w:r>
              <w:rPr>
                <w:rFonts w:cs="Arial"/>
                <w:sz w:val="22"/>
                <w:szCs w:val="22"/>
              </w:rPr>
              <w:t>461</w:t>
            </w:r>
          </w:p>
        </w:tc>
        <w:tc>
          <w:tcPr>
            <w:tcW w:w="277" w:type="dxa"/>
            <w:vMerge w:val="restart"/>
            <w:shd w:val="clear" w:color="auto" w:fill="000000"/>
          </w:tcPr>
          <w:p w:rsidR="000701D4" w:rsidRPr="00644988" w:rsidRDefault="000701D4" w:rsidP="00EA1B4A">
            <w:pPr>
              <w:jc w:val="right"/>
              <w:rPr>
                <w:rFonts w:cs="Arial"/>
                <w:sz w:val="22"/>
                <w:szCs w:val="22"/>
              </w:rPr>
            </w:pP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 xml:space="preserve"> (50)</w:t>
            </w: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 xml:space="preserve"> (50)</w:t>
            </w:r>
          </w:p>
        </w:tc>
        <w:tc>
          <w:tcPr>
            <w:tcW w:w="1112" w:type="dxa"/>
            <w:vAlign w:val="center"/>
          </w:tcPr>
          <w:p w:rsidR="000701D4" w:rsidRPr="00644988" w:rsidRDefault="000701D4" w:rsidP="00EA1B4A">
            <w:pPr>
              <w:jc w:val="right"/>
              <w:rPr>
                <w:rFonts w:cs="Arial"/>
                <w:sz w:val="22"/>
                <w:szCs w:val="22"/>
              </w:rPr>
            </w:pPr>
            <w:r w:rsidRPr="00644988">
              <w:rPr>
                <w:rFonts w:cs="Arial"/>
                <w:sz w:val="22"/>
                <w:szCs w:val="22"/>
              </w:rPr>
              <w:t>100</w:t>
            </w:r>
          </w:p>
        </w:tc>
        <w:tc>
          <w:tcPr>
            <w:tcW w:w="1134" w:type="dxa"/>
            <w:vAlign w:val="center"/>
          </w:tcPr>
          <w:p w:rsidR="000701D4" w:rsidRPr="00644988" w:rsidRDefault="000701D4" w:rsidP="00EA1B4A">
            <w:pPr>
              <w:jc w:val="right"/>
              <w:rPr>
                <w:rFonts w:cs="Arial"/>
                <w:sz w:val="22"/>
                <w:szCs w:val="22"/>
              </w:rPr>
            </w:pPr>
          </w:p>
        </w:tc>
      </w:tr>
      <w:tr w:rsidR="000701D4" w:rsidRPr="008E2ABA" w:rsidTr="00EA1B4A">
        <w:trPr>
          <w:trHeight w:val="119"/>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sz w:val="22"/>
                <w:szCs w:val="22"/>
              </w:rPr>
            </w:pPr>
            <w:r w:rsidRPr="00DA6C78">
              <w:rPr>
                <w:rFonts w:eastAsia="Calibri" w:cs="Arial"/>
                <w:sz w:val="22"/>
                <w:szCs w:val="22"/>
              </w:rPr>
              <w:t>Housing Needs</w:t>
            </w:r>
          </w:p>
        </w:tc>
        <w:tc>
          <w:tcPr>
            <w:tcW w:w="5619" w:type="dxa"/>
            <w:shd w:val="clear" w:color="auto" w:fill="auto"/>
          </w:tcPr>
          <w:p w:rsidR="000701D4" w:rsidRPr="00DA6C78" w:rsidRDefault="000701D4" w:rsidP="00EA1B4A">
            <w:pPr>
              <w:rPr>
                <w:rFonts w:eastAsia="Calibri" w:cs="Arial"/>
                <w:sz w:val="22"/>
                <w:szCs w:val="22"/>
              </w:rPr>
            </w:pPr>
            <w:r>
              <w:rPr>
                <w:rFonts w:eastAsia="Calibri" w:cs="Arial"/>
                <w:sz w:val="22"/>
                <w:szCs w:val="22"/>
              </w:rPr>
              <w:t>Initiatives identified include: investment in Temporary Accommodation and new joint commissioning strategy for homeless hostels across 7 partner organisations (SEE APPENDIX G)</w:t>
            </w:r>
          </w:p>
        </w:tc>
        <w:tc>
          <w:tcPr>
            <w:tcW w:w="1112" w:type="dxa"/>
            <w:vAlign w:val="center"/>
          </w:tcPr>
          <w:p w:rsidR="000701D4" w:rsidRPr="00644988" w:rsidRDefault="000701D4" w:rsidP="00EA1B4A">
            <w:pPr>
              <w:jc w:val="right"/>
              <w:rPr>
                <w:rFonts w:cs="Arial"/>
                <w:sz w:val="22"/>
                <w:szCs w:val="22"/>
              </w:rPr>
            </w:pPr>
            <w:r>
              <w:rPr>
                <w:rFonts w:cs="Arial"/>
                <w:sz w:val="22"/>
                <w:szCs w:val="22"/>
              </w:rPr>
              <w:t>4338</w:t>
            </w:r>
          </w:p>
        </w:tc>
        <w:tc>
          <w:tcPr>
            <w:tcW w:w="1112" w:type="dxa"/>
            <w:vAlign w:val="center"/>
          </w:tcPr>
          <w:p w:rsidR="000701D4" w:rsidRPr="00644988" w:rsidRDefault="000701D4" w:rsidP="00EA1B4A">
            <w:pPr>
              <w:jc w:val="right"/>
              <w:rPr>
                <w:rFonts w:cs="Arial"/>
                <w:sz w:val="22"/>
                <w:szCs w:val="22"/>
              </w:rPr>
            </w:pPr>
            <w:r>
              <w:rPr>
                <w:rFonts w:cs="Arial"/>
                <w:sz w:val="22"/>
                <w:szCs w:val="22"/>
              </w:rPr>
              <w:t>(832)</w:t>
            </w:r>
          </w:p>
        </w:tc>
        <w:tc>
          <w:tcPr>
            <w:tcW w:w="1112" w:type="dxa"/>
            <w:vAlign w:val="center"/>
          </w:tcPr>
          <w:p w:rsidR="000701D4" w:rsidRPr="00644988" w:rsidRDefault="000701D4" w:rsidP="00EA1B4A">
            <w:pPr>
              <w:jc w:val="right"/>
              <w:rPr>
                <w:rFonts w:cs="Arial"/>
                <w:sz w:val="22"/>
                <w:szCs w:val="22"/>
              </w:rPr>
            </w:pPr>
            <w:r>
              <w:rPr>
                <w:rFonts w:cs="Arial"/>
                <w:sz w:val="22"/>
                <w:szCs w:val="22"/>
              </w:rPr>
              <w:t>3506</w:t>
            </w:r>
          </w:p>
        </w:tc>
        <w:tc>
          <w:tcPr>
            <w:tcW w:w="277" w:type="dxa"/>
            <w:vMerge/>
            <w:shd w:val="clear" w:color="auto" w:fill="000000"/>
          </w:tcPr>
          <w:p w:rsidR="000701D4" w:rsidRPr="00644988" w:rsidRDefault="000701D4" w:rsidP="00EA1B4A">
            <w:pPr>
              <w:jc w:val="right"/>
              <w:rPr>
                <w:rFonts w:cs="Arial"/>
                <w:sz w:val="22"/>
                <w:szCs w:val="22"/>
              </w:rPr>
            </w:pP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 xml:space="preserve"> (67)</w:t>
            </w: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 xml:space="preserve"> (39)</w:t>
            </w:r>
          </w:p>
        </w:tc>
        <w:tc>
          <w:tcPr>
            <w:tcW w:w="1112" w:type="dxa"/>
            <w:vAlign w:val="center"/>
          </w:tcPr>
          <w:p w:rsidR="000701D4" w:rsidRPr="00644988" w:rsidRDefault="000701D4" w:rsidP="00EA1B4A">
            <w:pPr>
              <w:jc w:val="right"/>
              <w:rPr>
                <w:rFonts w:cs="Arial"/>
                <w:sz w:val="22"/>
                <w:szCs w:val="22"/>
              </w:rPr>
            </w:pPr>
            <w:r w:rsidRPr="00644988">
              <w:rPr>
                <w:rFonts w:cs="Arial"/>
                <w:sz w:val="22"/>
                <w:szCs w:val="22"/>
              </w:rPr>
              <w:t xml:space="preserve"> (86)</w:t>
            </w:r>
          </w:p>
        </w:tc>
        <w:tc>
          <w:tcPr>
            <w:tcW w:w="1134" w:type="dxa"/>
            <w:vAlign w:val="center"/>
          </w:tcPr>
          <w:p w:rsidR="000701D4" w:rsidRPr="00644988" w:rsidRDefault="000701D4" w:rsidP="00EA1B4A">
            <w:pPr>
              <w:jc w:val="right"/>
              <w:rPr>
                <w:rFonts w:cs="Arial"/>
                <w:sz w:val="22"/>
                <w:szCs w:val="22"/>
              </w:rPr>
            </w:pPr>
            <w:r w:rsidRPr="00644988">
              <w:rPr>
                <w:rFonts w:cs="Arial"/>
                <w:sz w:val="22"/>
                <w:szCs w:val="22"/>
              </w:rPr>
              <w:t xml:space="preserve"> (8)</w:t>
            </w:r>
          </w:p>
        </w:tc>
      </w:tr>
      <w:tr w:rsidR="000701D4" w:rsidRPr="008E2ABA" w:rsidTr="00EA1B4A">
        <w:trPr>
          <w:trHeight w:val="119"/>
        </w:trPr>
        <w:tc>
          <w:tcPr>
            <w:tcW w:w="1574" w:type="dxa"/>
            <w:shd w:val="clear" w:color="auto" w:fill="auto"/>
          </w:tcPr>
          <w:p w:rsidR="000701D4" w:rsidRPr="00DA6C78" w:rsidRDefault="000701D4" w:rsidP="00EA1B4A">
            <w:pPr>
              <w:shd w:val="clear" w:color="auto" w:fill="FFFFFF"/>
              <w:spacing w:before="240" w:after="100" w:afterAutospacing="1"/>
              <w:contextualSpacing/>
              <w:rPr>
                <w:rFonts w:eastAsia="Calibri" w:cs="Arial"/>
                <w:b/>
                <w:sz w:val="22"/>
                <w:szCs w:val="22"/>
              </w:rPr>
            </w:pPr>
            <w:r w:rsidRPr="00DA6C78">
              <w:rPr>
                <w:rFonts w:eastAsia="Calibri" w:cs="Arial"/>
                <w:sz w:val="22"/>
                <w:szCs w:val="22"/>
              </w:rPr>
              <w:t>Legal Services</w:t>
            </w:r>
          </w:p>
        </w:tc>
        <w:tc>
          <w:tcPr>
            <w:tcW w:w="5619" w:type="dxa"/>
            <w:shd w:val="clear" w:color="auto" w:fill="auto"/>
          </w:tcPr>
          <w:p w:rsidR="000701D4" w:rsidRPr="006243E0" w:rsidRDefault="000701D4" w:rsidP="00EA1B4A">
            <w:pPr>
              <w:rPr>
                <w:rFonts w:cs="Arial"/>
                <w:sz w:val="22"/>
                <w:szCs w:val="22"/>
              </w:rPr>
            </w:pPr>
            <w:r>
              <w:rPr>
                <w:rFonts w:cs="Arial"/>
                <w:sz w:val="22"/>
                <w:szCs w:val="22"/>
              </w:rPr>
              <w:t>Review concluded that the net cost of legal services is low compared to other authorities (CIPFA) and client satisfaction results are consistently high. Recommendation t</w:t>
            </w:r>
            <w:r w:rsidRPr="00DA6C78">
              <w:rPr>
                <w:rFonts w:cs="Arial"/>
                <w:sz w:val="22"/>
                <w:szCs w:val="22"/>
              </w:rPr>
              <w:t>o retain the current in house service taking opportunities as they arise to rebalance the team and endeavou</w:t>
            </w:r>
            <w:r>
              <w:rPr>
                <w:rFonts w:cs="Arial"/>
                <w:sz w:val="22"/>
                <w:szCs w:val="22"/>
              </w:rPr>
              <w:t>r to keep net cost to a minimum.  (SEE APPENDIX H)</w:t>
            </w:r>
          </w:p>
          <w:p w:rsidR="000701D4" w:rsidRPr="00DA6C78" w:rsidRDefault="000701D4" w:rsidP="00EA1B4A">
            <w:pPr>
              <w:rPr>
                <w:rFonts w:eastAsia="Calibri" w:cs="Arial"/>
                <w:sz w:val="22"/>
                <w:szCs w:val="22"/>
              </w:rPr>
            </w:pPr>
          </w:p>
        </w:tc>
        <w:tc>
          <w:tcPr>
            <w:tcW w:w="1112" w:type="dxa"/>
            <w:vAlign w:val="center"/>
          </w:tcPr>
          <w:p w:rsidR="000701D4" w:rsidRPr="00644988" w:rsidRDefault="000701D4" w:rsidP="00EA1B4A">
            <w:pPr>
              <w:jc w:val="right"/>
              <w:rPr>
                <w:rFonts w:cs="Arial"/>
                <w:sz w:val="22"/>
                <w:szCs w:val="22"/>
              </w:rPr>
            </w:pPr>
            <w:r>
              <w:rPr>
                <w:rFonts w:cs="Arial"/>
                <w:sz w:val="22"/>
                <w:szCs w:val="22"/>
              </w:rPr>
              <w:t>1048</w:t>
            </w:r>
          </w:p>
        </w:tc>
        <w:tc>
          <w:tcPr>
            <w:tcW w:w="1112" w:type="dxa"/>
            <w:vAlign w:val="center"/>
          </w:tcPr>
          <w:p w:rsidR="000701D4" w:rsidRPr="00644988" w:rsidRDefault="000701D4" w:rsidP="00EA1B4A">
            <w:pPr>
              <w:jc w:val="right"/>
              <w:rPr>
                <w:rFonts w:cs="Arial"/>
                <w:sz w:val="22"/>
                <w:szCs w:val="22"/>
              </w:rPr>
            </w:pPr>
            <w:r>
              <w:rPr>
                <w:rFonts w:cs="Arial"/>
                <w:sz w:val="22"/>
                <w:szCs w:val="22"/>
              </w:rPr>
              <w:t>(171)</w:t>
            </w:r>
          </w:p>
        </w:tc>
        <w:tc>
          <w:tcPr>
            <w:tcW w:w="1112" w:type="dxa"/>
            <w:vAlign w:val="center"/>
          </w:tcPr>
          <w:p w:rsidR="000701D4" w:rsidRPr="00644988" w:rsidRDefault="000701D4" w:rsidP="00EA1B4A">
            <w:pPr>
              <w:jc w:val="right"/>
              <w:rPr>
                <w:rFonts w:cs="Arial"/>
                <w:sz w:val="22"/>
                <w:szCs w:val="22"/>
              </w:rPr>
            </w:pPr>
            <w:r>
              <w:rPr>
                <w:rFonts w:cs="Arial"/>
                <w:sz w:val="22"/>
                <w:szCs w:val="22"/>
              </w:rPr>
              <w:t>877</w:t>
            </w:r>
          </w:p>
        </w:tc>
        <w:tc>
          <w:tcPr>
            <w:tcW w:w="277" w:type="dxa"/>
            <w:vMerge/>
            <w:shd w:val="clear" w:color="auto" w:fill="000000"/>
          </w:tcPr>
          <w:p w:rsidR="000701D4" w:rsidRPr="00644988" w:rsidRDefault="000701D4" w:rsidP="00EA1B4A">
            <w:pPr>
              <w:jc w:val="right"/>
              <w:rPr>
                <w:rFonts w:cs="Arial"/>
                <w:sz w:val="22"/>
                <w:szCs w:val="22"/>
              </w:rPr>
            </w:pP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w:t>
            </w:r>
          </w:p>
        </w:tc>
        <w:tc>
          <w:tcPr>
            <w:tcW w:w="1112" w:type="dxa"/>
            <w:shd w:val="clear" w:color="auto" w:fill="auto"/>
            <w:vAlign w:val="center"/>
          </w:tcPr>
          <w:p w:rsidR="000701D4" w:rsidRPr="00644988" w:rsidRDefault="000701D4" w:rsidP="00EA1B4A">
            <w:pPr>
              <w:jc w:val="right"/>
              <w:rPr>
                <w:rFonts w:cs="Arial"/>
                <w:sz w:val="22"/>
                <w:szCs w:val="22"/>
              </w:rPr>
            </w:pPr>
            <w:r w:rsidRPr="00644988">
              <w:rPr>
                <w:rFonts w:cs="Arial"/>
                <w:sz w:val="22"/>
                <w:szCs w:val="22"/>
              </w:rPr>
              <w:t>-</w:t>
            </w:r>
          </w:p>
        </w:tc>
        <w:tc>
          <w:tcPr>
            <w:tcW w:w="1112" w:type="dxa"/>
            <w:vAlign w:val="center"/>
          </w:tcPr>
          <w:p w:rsidR="000701D4" w:rsidRPr="00644988" w:rsidRDefault="000701D4" w:rsidP="00EA1B4A">
            <w:pPr>
              <w:jc w:val="right"/>
              <w:rPr>
                <w:rFonts w:cs="Arial"/>
                <w:sz w:val="22"/>
                <w:szCs w:val="22"/>
              </w:rPr>
            </w:pPr>
            <w:r w:rsidRPr="00644988">
              <w:rPr>
                <w:rFonts w:cs="Arial"/>
                <w:sz w:val="22"/>
                <w:szCs w:val="22"/>
              </w:rPr>
              <w:t>-</w:t>
            </w:r>
          </w:p>
        </w:tc>
        <w:tc>
          <w:tcPr>
            <w:tcW w:w="1134" w:type="dxa"/>
            <w:vAlign w:val="center"/>
          </w:tcPr>
          <w:p w:rsidR="000701D4" w:rsidRPr="00644988" w:rsidRDefault="000701D4" w:rsidP="00EA1B4A">
            <w:pPr>
              <w:jc w:val="right"/>
              <w:rPr>
                <w:rFonts w:cs="Arial"/>
                <w:sz w:val="22"/>
                <w:szCs w:val="22"/>
              </w:rPr>
            </w:pPr>
            <w:r w:rsidRPr="00644988">
              <w:rPr>
                <w:rFonts w:cs="Arial"/>
                <w:sz w:val="22"/>
                <w:szCs w:val="22"/>
              </w:rPr>
              <w:t>-</w:t>
            </w:r>
          </w:p>
        </w:tc>
      </w:tr>
      <w:tr w:rsidR="000701D4" w:rsidRPr="008E2ABA" w:rsidTr="00EA1B4A">
        <w:trPr>
          <w:trHeight w:val="119"/>
        </w:trPr>
        <w:tc>
          <w:tcPr>
            <w:tcW w:w="10529" w:type="dxa"/>
            <w:gridSpan w:val="5"/>
            <w:shd w:val="clear" w:color="auto" w:fill="auto"/>
            <w:vAlign w:val="center"/>
          </w:tcPr>
          <w:p w:rsidR="000701D4" w:rsidRPr="00644988" w:rsidRDefault="000701D4" w:rsidP="00EA1B4A">
            <w:pPr>
              <w:rPr>
                <w:rFonts w:cs="Arial"/>
                <w:b/>
                <w:sz w:val="22"/>
                <w:szCs w:val="22"/>
              </w:rPr>
            </w:pPr>
            <w:r w:rsidRPr="00DA6C78">
              <w:rPr>
                <w:rFonts w:eastAsia="Calibri" w:cs="Arial"/>
                <w:sz w:val="22"/>
                <w:szCs w:val="22"/>
              </w:rPr>
              <w:t>Cumulative</w:t>
            </w:r>
          </w:p>
        </w:tc>
        <w:tc>
          <w:tcPr>
            <w:tcW w:w="277" w:type="dxa"/>
            <w:shd w:val="clear" w:color="auto" w:fill="000000"/>
          </w:tcPr>
          <w:p w:rsidR="000701D4" w:rsidRPr="00444789" w:rsidRDefault="000701D4" w:rsidP="00EA1B4A">
            <w:pPr>
              <w:jc w:val="right"/>
              <w:rPr>
                <w:rFonts w:cs="Arial"/>
                <w:sz w:val="22"/>
                <w:szCs w:val="22"/>
              </w:rPr>
            </w:pPr>
          </w:p>
        </w:tc>
        <w:tc>
          <w:tcPr>
            <w:tcW w:w="1112" w:type="dxa"/>
            <w:shd w:val="clear" w:color="auto" w:fill="auto"/>
            <w:vAlign w:val="center"/>
          </w:tcPr>
          <w:p w:rsidR="000701D4" w:rsidRPr="00644988" w:rsidRDefault="000701D4" w:rsidP="00EA1B4A">
            <w:pPr>
              <w:jc w:val="right"/>
              <w:rPr>
                <w:rFonts w:cs="Arial"/>
                <w:b/>
                <w:sz w:val="22"/>
                <w:szCs w:val="22"/>
              </w:rPr>
            </w:pPr>
          </w:p>
          <w:p w:rsidR="000701D4" w:rsidRPr="00644988" w:rsidRDefault="000701D4" w:rsidP="00EA1B4A">
            <w:pPr>
              <w:jc w:val="right"/>
              <w:rPr>
                <w:rFonts w:cs="Arial"/>
                <w:b/>
                <w:sz w:val="22"/>
                <w:szCs w:val="22"/>
              </w:rPr>
            </w:pPr>
            <w:r w:rsidRPr="00644988">
              <w:rPr>
                <w:rFonts w:cs="Arial"/>
                <w:b/>
                <w:sz w:val="22"/>
                <w:szCs w:val="22"/>
              </w:rPr>
              <w:t xml:space="preserve"> (300)</w:t>
            </w:r>
          </w:p>
          <w:p w:rsidR="000701D4" w:rsidRPr="00644988" w:rsidRDefault="000701D4" w:rsidP="00EA1B4A">
            <w:pPr>
              <w:jc w:val="right"/>
              <w:rPr>
                <w:rFonts w:cs="Arial"/>
                <w:b/>
                <w:sz w:val="22"/>
                <w:szCs w:val="22"/>
              </w:rPr>
            </w:pPr>
          </w:p>
        </w:tc>
        <w:tc>
          <w:tcPr>
            <w:tcW w:w="1112" w:type="dxa"/>
            <w:shd w:val="clear" w:color="auto" w:fill="auto"/>
            <w:vAlign w:val="center"/>
          </w:tcPr>
          <w:p w:rsidR="000701D4" w:rsidRPr="00644988" w:rsidRDefault="000701D4" w:rsidP="00EA1B4A">
            <w:pPr>
              <w:jc w:val="right"/>
              <w:rPr>
                <w:rFonts w:cs="Arial"/>
                <w:b/>
                <w:sz w:val="22"/>
                <w:szCs w:val="22"/>
              </w:rPr>
            </w:pPr>
            <w:r w:rsidRPr="00644988">
              <w:rPr>
                <w:rFonts w:cs="Arial"/>
                <w:b/>
                <w:sz w:val="22"/>
                <w:szCs w:val="22"/>
              </w:rPr>
              <w:t xml:space="preserve"> (563)</w:t>
            </w:r>
          </w:p>
        </w:tc>
        <w:tc>
          <w:tcPr>
            <w:tcW w:w="1112" w:type="dxa"/>
            <w:vAlign w:val="center"/>
          </w:tcPr>
          <w:p w:rsidR="000701D4" w:rsidRPr="00644988" w:rsidRDefault="000701D4" w:rsidP="00EA1B4A">
            <w:pPr>
              <w:jc w:val="right"/>
              <w:rPr>
                <w:rFonts w:cs="Arial"/>
                <w:b/>
                <w:sz w:val="22"/>
                <w:szCs w:val="22"/>
              </w:rPr>
            </w:pPr>
            <w:r w:rsidRPr="00644988">
              <w:rPr>
                <w:rFonts w:cs="Arial"/>
                <w:b/>
                <w:sz w:val="22"/>
                <w:szCs w:val="22"/>
              </w:rPr>
              <w:t xml:space="preserve"> (644)</w:t>
            </w:r>
          </w:p>
        </w:tc>
        <w:tc>
          <w:tcPr>
            <w:tcW w:w="1134" w:type="dxa"/>
            <w:vAlign w:val="center"/>
          </w:tcPr>
          <w:p w:rsidR="000701D4" w:rsidRPr="00644988" w:rsidRDefault="000701D4" w:rsidP="00EA1B4A">
            <w:pPr>
              <w:jc w:val="right"/>
              <w:rPr>
                <w:rFonts w:cs="Arial"/>
                <w:b/>
                <w:sz w:val="22"/>
                <w:szCs w:val="22"/>
              </w:rPr>
            </w:pPr>
            <w:r w:rsidRPr="00644988">
              <w:rPr>
                <w:rFonts w:cs="Arial"/>
                <w:b/>
                <w:sz w:val="22"/>
                <w:szCs w:val="22"/>
              </w:rPr>
              <w:t xml:space="preserve"> (645)</w:t>
            </w:r>
          </w:p>
        </w:tc>
      </w:tr>
    </w:tbl>
    <w:p w:rsidR="008A22C6" w:rsidRPr="008A22C6" w:rsidRDefault="008A22C6" w:rsidP="008A22C6">
      <w:bookmarkStart w:id="0" w:name="_GoBack"/>
      <w:bookmarkEnd w:id="0"/>
    </w:p>
    <w:sectPr w:rsidR="008A22C6" w:rsidRPr="008A22C6" w:rsidSect="000701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D4"/>
    <w:rsid w:val="000701D4"/>
    <w:rsid w:val="000B4310"/>
    <w:rsid w:val="004000D7"/>
    <w:rsid w:val="004840A9"/>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D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701D4"/>
    <w:rPr>
      <w:rFonts w:eastAsia="Calibri" w:cs="Arial"/>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D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701D4"/>
    <w:rPr>
      <w:rFonts w:eastAsia="Calibri"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666F-C9F4-454E-8940-C9A0692B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2017-03-28T09:25:00Z</dcterms:created>
  <dcterms:modified xsi:type="dcterms:W3CDTF">2017-03-28T09:26:00Z</dcterms:modified>
</cp:coreProperties>
</file>